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FD5D2A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ACE5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54870B56" wp14:editId="5BCAC6F2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>m February Playscheme 2015</w:t>
            </w:r>
          </w:p>
          <w:p w:rsidR="004C523F" w:rsidRPr="00682CEE" w:rsidRDefault="004C523F" w:rsidP="00EA626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Blue Team at</w:t>
            </w:r>
            <w:r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St Mary’s Site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Chaucer Road, Cambridge CB2 7EB</w:t>
            </w:r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682CEE" w:rsidRDefault="00981C46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3503">
              <w:rPr>
                <w:rFonts w:ascii="Arial" w:hAnsi="Arial" w:cs="Arial"/>
                <w:b/>
                <w:sz w:val="24"/>
                <w:szCs w:val="22"/>
              </w:rPr>
              <w:t>Child/</w:t>
            </w:r>
            <w:proofErr w:type="spellStart"/>
            <w:r w:rsidRPr="00683503">
              <w:rPr>
                <w:rFonts w:ascii="Arial" w:hAnsi="Arial" w:cs="Arial"/>
                <w:b/>
                <w:sz w:val="24"/>
                <w:szCs w:val="22"/>
              </w:rPr>
              <w:t>ren</w:t>
            </w:r>
            <w:proofErr w:type="spellEnd"/>
            <w:r w:rsidRPr="00683503">
              <w:rPr>
                <w:rFonts w:ascii="Arial" w:hAnsi="Arial" w:cs="Arial"/>
                <w:b/>
                <w:sz w:val="24"/>
                <w:szCs w:val="22"/>
              </w:rPr>
              <w:t xml:space="preserve">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Default="00683503" w:rsidP="00FD5D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full name </w:t>
            </w:r>
            <w:r w:rsidRPr="0052472B">
              <w:rPr>
                <w:rFonts w:ascii="Arial" w:hAnsi="Arial" w:cs="Arial"/>
                <w:b/>
                <w:szCs w:val="22"/>
              </w:rPr>
              <w:t>(please use the same name as th</w:t>
            </w:r>
            <w:r>
              <w:rPr>
                <w:rFonts w:ascii="Arial" w:hAnsi="Arial" w:cs="Arial"/>
                <w:b/>
                <w:szCs w:val="22"/>
              </w:rPr>
              <w:t>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Default="004C523F" w:rsidP="004C523F"/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4C523F" w:rsidRPr="000768A0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>Places can only be booked by Registered users – please submit a 2016 Registration</w:t>
            </w:r>
            <w:r w:rsidR="00981C46">
              <w:rPr>
                <w:rFonts w:ascii="Arial" w:hAnsi="Arial"/>
              </w:rPr>
              <w:t xml:space="preserve"> form</w:t>
            </w:r>
            <w:r w:rsidRPr="000768A0">
              <w:rPr>
                <w:rFonts w:ascii="Arial" w:hAnsi="Arial"/>
              </w:rPr>
              <w:t xml:space="preserve"> if you have </w:t>
            </w:r>
            <w:r w:rsidR="00981C46">
              <w:rPr>
                <w:rFonts w:ascii="Arial" w:hAnsi="Arial"/>
              </w:rPr>
              <w:t>not yet done</w:t>
            </w:r>
            <w:r w:rsidRPr="000768A0">
              <w:rPr>
                <w:rFonts w:ascii="Arial" w:hAnsi="Arial"/>
              </w:rPr>
              <w:t xml:space="preserve"> so</w:t>
            </w:r>
          </w:p>
          <w:p w:rsidR="004C523F" w:rsidRPr="000768A0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  Registrations and Bookings may be submitted via email to </w:t>
            </w:r>
            <w:hyperlink r:id="rId6" w:history="1">
              <w:r w:rsidRPr="000768A0">
                <w:rPr>
                  <w:rStyle w:val="Hyperlink"/>
                  <w:rFonts w:ascii="Arial" w:hAnsi="Arial"/>
                </w:rPr>
                <w:t>Playscheme@admin.cam.ac.uk</w:t>
              </w:r>
            </w:hyperlink>
            <w:r w:rsidRPr="000768A0">
              <w:rPr>
                <w:rFonts w:ascii="Arial" w:hAnsi="Arial"/>
              </w:rPr>
              <w:t xml:space="preserve"> </w:t>
            </w:r>
          </w:p>
          <w:p w:rsidR="004C523F" w:rsidRDefault="004C523F" w:rsidP="000768A0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Priority Booking: 6 January – 24 January</w:t>
            </w:r>
          </w:p>
          <w:p w:rsidR="00307FCF" w:rsidRPr="000768A0" w:rsidRDefault="00307FC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Those eligible for priority booking include </w:t>
            </w:r>
            <w:r w:rsidR="00B8063B" w:rsidRPr="000768A0">
              <w:rPr>
                <w:rFonts w:ascii="Arial" w:hAnsi="Arial"/>
              </w:rPr>
              <w:t>Cambridge University staff and students, Cambridge Assessment staff, Cambridge University Press staff, as well as staff and parents of chil</w:t>
            </w:r>
            <w:r w:rsidR="00981C46">
              <w:rPr>
                <w:rFonts w:ascii="Arial" w:hAnsi="Arial"/>
              </w:rPr>
              <w:t>dren attending St Mary’s School and</w:t>
            </w:r>
            <w:r w:rsidR="00B8063B" w:rsidRPr="000768A0">
              <w:rPr>
                <w:rFonts w:ascii="Arial" w:hAnsi="Arial"/>
              </w:rPr>
              <w:t xml:space="preserve"> Chesterton Community College.</w:t>
            </w:r>
          </w:p>
          <w:p w:rsidR="004C523F" w:rsidRPr="004C523F" w:rsidRDefault="004C523F" w:rsidP="000768A0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4C523F">
              <w:rPr>
                <w:rFonts w:ascii="Arial" w:hAnsi="Arial"/>
                <w:b/>
                <w:sz w:val="22"/>
              </w:rPr>
              <w:t>Co</w:t>
            </w:r>
            <w:r>
              <w:rPr>
                <w:rFonts w:ascii="Arial" w:hAnsi="Arial"/>
                <w:b/>
                <w:sz w:val="22"/>
              </w:rPr>
              <w:t>llege Staff and General Public Booking:</w:t>
            </w:r>
            <w:r w:rsidRPr="004C523F">
              <w:rPr>
                <w:rFonts w:ascii="Arial" w:hAnsi="Arial"/>
                <w:b/>
                <w:sz w:val="22"/>
              </w:rPr>
              <w:t xml:space="preserve"> </w:t>
            </w:r>
            <w:r w:rsidR="00981C46">
              <w:rPr>
                <w:rFonts w:ascii="Arial" w:hAnsi="Arial"/>
                <w:b/>
                <w:sz w:val="22"/>
              </w:rPr>
              <w:t>25 January – 5</w:t>
            </w:r>
            <w:r>
              <w:rPr>
                <w:rFonts w:ascii="Arial" w:hAnsi="Arial"/>
                <w:b/>
                <w:sz w:val="22"/>
              </w:rPr>
              <w:t xml:space="preserve"> February</w:t>
            </w:r>
          </w:p>
          <w:p w:rsidR="00307FCF" w:rsidRPr="000768A0" w:rsidRDefault="000768A0" w:rsidP="000768A0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ADVANCE BOOKING CLOSES ON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981C46">
              <w:rPr>
                <w:rFonts w:ascii="Arial" w:hAnsi="Arial"/>
                <w:b/>
                <w:sz w:val="24"/>
                <w:szCs w:val="24"/>
                <w:u w:val="single"/>
              </w:rPr>
              <w:t>FRIDAY 5</w:t>
            </w: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FEBRUARY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AT 13:00</w:t>
            </w:r>
          </w:p>
          <w:p w:rsidR="004C523F" w:rsidRPr="00FD5D2A" w:rsidRDefault="00307FCF" w:rsidP="00FD5D2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768A0">
              <w:rPr>
                <w:rFonts w:ascii="Arial" w:hAnsi="Arial"/>
              </w:rPr>
              <w:t xml:space="preserve">No booking forms will be accepted after the close of advance booking. If you still wish to book a place after advance booking has closed you will need to contact the sites directly during the holiday.  </w:t>
            </w:r>
            <w:r w:rsidR="004C523F" w:rsidRPr="000768A0">
              <w:rPr>
                <w:rFonts w:ascii="Arial" w:hAnsi="Arial"/>
              </w:rPr>
              <w:t xml:space="preserve"> </w:t>
            </w:r>
          </w:p>
        </w:tc>
      </w:tr>
    </w:tbl>
    <w:p w:rsidR="004C523F" w:rsidRPr="00D13D29" w:rsidRDefault="004C523F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</w:t>
            </w:r>
            <w:r w:rsidRPr="00B8063B">
              <w:rPr>
                <w:rFonts w:ascii="Arial" w:hAnsi="Arial"/>
              </w:rPr>
              <w:t>iscounted rate is for University of Cambridge staff and students, Cambridge Assessment Staff, and Cambridge University Press staff.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B8063B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of</w:t>
            </w:r>
            <w:r w:rsidRPr="00B8063B">
              <w:rPr>
                <w:rFonts w:ascii="Arial" w:hAnsi="Arial"/>
              </w:rPr>
              <w:t xml:space="preserve"> the venues</w:t>
            </w:r>
            <w:r>
              <w:rPr>
                <w:rFonts w:ascii="Arial" w:hAnsi="Arial"/>
              </w:rPr>
              <w:t xml:space="preserve"> at which</w:t>
            </w:r>
            <w:r w:rsidRPr="00B8063B">
              <w:rPr>
                <w:rFonts w:ascii="Arial" w:hAnsi="Arial"/>
              </w:rPr>
              <w:t xml:space="preserve"> Playscheme </w:t>
            </w:r>
            <w:r w:rsidR="00981C46">
              <w:rPr>
                <w:rFonts w:ascii="Arial" w:hAnsi="Arial"/>
              </w:rPr>
              <w:t xml:space="preserve">is </w:t>
            </w:r>
            <w:r w:rsidRPr="00B8063B">
              <w:rPr>
                <w:rFonts w:ascii="Arial" w:hAnsi="Arial"/>
              </w:rPr>
              <w:t>o</w:t>
            </w:r>
            <w:r w:rsidR="00981C46">
              <w:rPr>
                <w:rFonts w:ascii="Arial" w:hAnsi="Arial"/>
              </w:rPr>
              <w:t>perating this holiday</w:t>
            </w:r>
            <w:r w:rsidRPr="00B8063B">
              <w:rPr>
                <w:rFonts w:ascii="Arial" w:hAnsi="Arial"/>
              </w:rPr>
              <w:t xml:space="preserve"> are entitled to </w:t>
            </w:r>
            <w:r w:rsidR="00981C4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10% discount o</w:t>
            </w:r>
            <w:bookmarkStart w:id="0" w:name="_GoBack"/>
            <w:bookmarkEnd w:id="0"/>
            <w:r>
              <w:rPr>
                <w:rFonts w:ascii="Arial" w:hAnsi="Arial"/>
              </w:rPr>
              <w:t>f</w:t>
            </w:r>
            <w:r w:rsidR="0068350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the full rate.</w:t>
            </w:r>
          </w:p>
          <w:p w:rsidR="00B8063B" w:rsidRPr="00F65877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F65877">
              <w:rPr>
                <w:rFonts w:ascii="Arial" w:hAnsi="Arial"/>
              </w:rPr>
              <w:t xml:space="preserve"> </w:t>
            </w:r>
            <w:r w:rsidR="00B8063B" w:rsidRPr="00F65877">
              <w:rPr>
                <w:rFonts w:ascii="Arial" w:hAnsi="Arial"/>
                <w:b/>
              </w:rPr>
              <w:t>The prices in brackets are the costs after advance booking has closed</w:t>
            </w:r>
            <w:r w:rsidR="00B8063B">
              <w:rPr>
                <w:rFonts w:ascii="Arial" w:hAnsi="Arial"/>
                <w:b/>
              </w:rPr>
              <w:t>. These include an additional fee of £2.50.</w:t>
            </w:r>
          </w:p>
          <w:p w:rsidR="004C523F" w:rsidRPr="00F65877" w:rsidRDefault="00683503" w:rsidP="00FD5D2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how to pay</w:t>
            </w:r>
            <w:r w:rsidR="00B8063B" w:rsidRPr="00F65877">
              <w:rPr>
                <w:rFonts w:ascii="Arial" w:hAnsi="Arial"/>
              </w:rPr>
              <w:t xml:space="preserve"> will be provided in booking confirmation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04"/>
              <w:gridCol w:w="1985"/>
              <w:gridCol w:w="425"/>
              <w:gridCol w:w="2126"/>
              <w:gridCol w:w="1985"/>
            </w:tblGrid>
            <w:tr w:rsidR="004C523F" w:rsidRPr="004C0339" w:rsidTr="00B8063B">
              <w:tc>
                <w:tcPr>
                  <w:tcW w:w="21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04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04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85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B8063B">
              <w:tc>
                <w:tcPr>
                  <w:tcW w:w="2183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981C46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726"/>
        <w:gridCol w:w="1280"/>
        <w:gridCol w:w="1276"/>
        <w:gridCol w:w="1275"/>
        <w:gridCol w:w="1279"/>
        <w:gridCol w:w="842"/>
        <w:gridCol w:w="8"/>
        <w:gridCol w:w="993"/>
        <w:gridCol w:w="1842"/>
      </w:tblGrid>
      <w:tr w:rsidR="00FD5D2A" w:rsidRPr="00FD5D2A" w:rsidTr="00FD5D2A">
        <w:trPr>
          <w:trHeight w:val="122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</w:rPr>
            </w:pPr>
            <w:r w:rsidRPr="00FD5D2A">
              <w:rPr>
                <w:rFonts w:ascii="Arial" w:hAnsi="Arial" w:cs="Arial"/>
                <w:b/>
              </w:rPr>
              <w:t>Please enter your child/</w:t>
            </w:r>
            <w:proofErr w:type="spellStart"/>
            <w:r w:rsidRPr="00FD5D2A">
              <w:rPr>
                <w:rFonts w:ascii="Arial" w:hAnsi="Arial" w:cs="Arial"/>
                <w:b/>
              </w:rPr>
              <w:t>ren’s</w:t>
            </w:r>
            <w:proofErr w:type="spellEnd"/>
            <w:r w:rsidRPr="00FD5D2A">
              <w:rPr>
                <w:rFonts w:ascii="Arial" w:hAnsi="Arial" w:cs="Arial"/>
                <w:b/>
              </w:rPr>
              <w:t xml:space="preserve"> initials to indicate the sessions you wish them to attend</w:t>
            </w:r>
          </w:p>
        </w:tc>
      </w:tr>
      <w:tr w:rsidR="00FD5D2A" w:rsidRPr="00FD5D2A" w:rsidTr="00FD5D2A">
        <w:trPr>
          <w:trHeight w:val="33"/>
        </w:trPr>
        <w:tc>
          <w:tcPr>
            <w:tcW w:w="22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February</w:t>
            </w:r>
          </w:p>
        </w:tc>
        <w:tc>
          <w:tcPr>
            <w:tcW w:w="51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D2A"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FD5D2A" w:rsidRPr="00FD5D2A" w:rsidTr="00FD5D2A">
        <w:trPr>
          <w:trHeight w:val="33"/>
        </w:trPr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Morning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Afternoon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Able to book on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received:</w:t>
            </w:r>
          </w:p>
          <w:p w:rsidR="00F66382" w:rsidRPr="00683503" w:rsidRDefault="00F66382" w:rsidP="00683503">
            <w:pPr>
              <w:jc w:val="center"/>
              <w:rPr>
                <w:rFonts w:ascii="Arial" w:hAnsi="Arial" w:cs="Arial"/>
                <w:sz w:val="32"/>
              </w:rPr>
            </w:pPr>
          </w:p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processed:</w:t>
            </w:r>
          </w:p>
          <w:p w:rsidR="00FD5D2A" w:rsidRPr="00683503" w:rsidRDefault="00FD5D2A" w:rsidP="00FD5D2A">
            <w:pPr>
              <w:jc w:val="center"/>
              <w:rPr>
                <w:rFonts w:ascii="Arial" w:hAnsi="Arial" w:cs="Arial"/>
                <w:sz w:val="32"/>
              </w:rPr>
            </w:pPr>
          </w:p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confirmed:</w:t>
            </w:r>
          </w:p>
          <w:p w:rsidR="00FD5D2A" w:rsidRPr="00683503" w:rsidRDefault="00FD5D2A" w:rsidP="00FD5D2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0815-1300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1230-1745</w:t>
            </w: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83503" w:rsidRPr="00FD5D2A" w:rsidTr="00683503">
        <w:trPr>
          <w:cantSplit/>
          <w:trHeight w:val="3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503" w:rsidRPr="00FD5D2A" w:rsidRDefault="00683503" w:rsidP="00FD5D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307FCF"/>
    <w:rsid w:val="004C523F"/>
    <w:rsid w:val="0050301D"/>
    <w:rsid w:val="00683503"/>
    <w:rsid w:val="00981C46"/>
    <w:rsid w:val="00B8063B"/>
    <w:rsid w:val="00D13D29"/>
    <w:rsid w:val="00EB1DAD"/>
    <w:rsid w:val="00F6638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3F02090B</Template>
  <TotalTime>50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6</cp:revision>
  <dcterms:created xsi:type="dcterms:W3CDTF">2015-12-22T15:01:00Z</dcterms:created>
  <dcterms:modified xsi:type="dcterms:W3CDTF">2016-01-05T11:28:00Z</dcterms:modified>
</cp:coreProperties>
</file>